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firstLine="708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Zarządzenie nr 3.2022</w:t>
      </w:r>
    </w:p>
    <w:p>
      <w:pPr>
        <w:pStyle w:val="Standard"/>
        <w:ind w:firstLine="708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 </w:t>
      </w:r>
      <w:r>
        <w:rPr>
          <w:rFonts w:cs="Garamond" w:ascii="Garamond" w:hAnsi="Garamond"/>
          <w:b/>
        </w:rPr>
        <w:t>Kierownika Gminnego Ośrodka Pomocy Społecznej w Kalinowie</w:t>
      </w:r>
    </w:p>
    <w:p>
      <w:pPr>
        <w:pStyle w:val="Standard"/>
        <w:ind w:firstLine="708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z dnia 29.07.2022</w:t>
      </w:r>
    </w:p>
    <w:p>
      <w:pPr>
        <w:pStyle w:val="Standard"/>
        <w:ind w:firstLine="708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Standard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zmieniające zarządzenie w sprawie ustalenia instrukcji kancelaryjnej, jednolitego rzeczowego wykazu akt i instrukcji o organizacji i zakresie działania składnicy akt w  Gminnym Ośrodku Pomocy Społecznej w Kalinowie</w:t>
      </w:r>
    </w:p>
    <w:p>
      <w:pPr>
        <w:pStyle w:val="Standard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Standard"/>
        <w:ind w:firstLine="70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Na podstawie art. 6 ust 2 pkt 2 i ust. 2d ustawy z dnia 14 lipca 1983 r. o narodowym zasobie archiwalnym i archiwach (Dz. U. z 2020 r. poz.164) zarządza się co następuje:</w:t>
      </w:r>
    </w:p>
    <w:p>
      <w:pPr>
        <w:pStyle w:val="Standard"/>
        <w:ind w:left="3540" w:firstLine="70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§ 1</w:t>
      </w:r>
    </w:p>
    <w:p>
      <w:pPr>
        <w:pStyle w:val="Standard"/>
        <w:ind w:left="3540" w:firstLine="70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Standard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 zarządzeniu Nr 1/2014 z dnia 20.11.2014 Kierownika Gminnego Ośrodka Pomocy w Kalinowie w sprawie ustalenia instrukcji kancelaryjnej, jednolitego rzeczowego wykazu akt i instrukcji o organizacji i zakresie działania składnicy akt w Gminnym Ośrodku Pomocy Społecznej w Kalinowie.</w:t>
      </w:r>
    </w:p>
    <w:p>
      <w:pPr>
        <w:pStyle w:val="Standard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 </w:t>
      </w:r>
    </w:p>
    <w:p>
      <w:pPr>
        <w:pStyle w:val="Standard"/>
        <w:numPr>
          <w:ilvl w:val="0"/>
          <w:numId w:val="1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 załączniku nr 2 do zarządzenia wprowadza się następujące zmiany:</w:t>
      </w:r>
    </w:p>
    <w:p>
      <w:pPr>
        <w:pStyle w:val="Standard"/>
        <w:ind w:left="720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Standard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dodaję klasę 545</w:t>
      </w:r>
    </w:p>
    <w:p>
      <w:pPr>
        <w:pStyle w:val="Standard"/>
        <w:ind w:left="1080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tbl>
      <w:tblPr>
        <w:tblW w:w="10333" w:type="dxa"/>
        <w:jc w:val="left"/>
        <w:tblInd w:w="1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59"/>
        <w:gridCol w:w="425"/>
        <w:gridCol w:w="551"/>
        <w:gridCol w:w="1066"/>
        <w:gridCol w:w="3707"/>
        <w:gridCol w:w="1575"/>
        <w:gridCol w:w="2749"/>
      </w:tblGrid>
      <w:tr>
        <w:trPr>
          <w:trHeight w:val="1089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79" w:after="0"/>
              <w:ind w:left="91" w:hanging="0"/>
              <w:rPr>
                <w:rFonts w:ascii="Times New Roman" w:hAnsi="Times New Roman"/>
                <w:b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54</w:t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76" w:before="79" w:after="0"/>
              <w:ind w:left="66" w:right="721" w:hanging="0"/>
              <w:rPr/>
            </w:pPr>
            <w:r>
              <w:rPr>
                <w:rFonts w:ascii="Times New Roman" w:hAnsi="Times New Roman"/>
                <w:b/>
                <w:w w:val="110"/>
                <w:sz w:val="24"/>
                <w:lang w:val="en-US"/>
              </w:rPr>
              <w:t>Obsługa innych rodzajów świadczeń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76" w:before="75" w:after="0"/>
              <w:ind w:left="65" w:right="24" w:hanging="0"/>
              <w:rPr/>
            </w:pPr>
            <w:r>
              <w:rPr>
                <w:rFonts w:ascii="Times New Roman" w:hAnsi="Times New Roman"/>
                <w:b/>
                <w:w w:val="110"/>
                <w:sz w:val="18"/>
              </w:rPr>
              <w:t>Planowanie i sprawozdawczość z zakresu obsługi świadczeń wyszczególnionych w klasach 540-543 – patrz klasa 411</w:t>
            </w:r>
          </w:p>
        </w:tc>
      </w:tr>
      <w:tr>
        <w:trPr>
          <w:trHeight w:val="767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right="86" w:hanging="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0" w:after="0"/>
              <w:ind w:left="66" w:right="133" w:hanging="0"/>
              <w:rPr>
                <w:sz w:val="24"/>
              </w:rPr>
            </w:pPr>
            <w:r>
              <w:rPr>
                <w:sz w:val="24"/>
              </w:rPr>
              <w:t>Realizacja świadczeń w formie pomocy materialnej dla uczniów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7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left="270" w:right="265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5400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3"/>
              <w:ind w:left="66" w:hanging="0"/>
              <w:rPr>
                <w:sz w:val="24"/>
              </w:rPr>
            </w:pPr>
            <w:r>
              <w:rPr>
                <w:sz w:val="24"/>
              </w:rPr>
              <w:t>Przyznawanie zasiłków</w:t>
            </w:r>
          </w:p>
          <w:p>
            <w:pPr>
              <w:pStyle w:val="TableParagraph"/>
              <w:spacing w:lineRule="exact" w:line="315"/>
              <w:ind w:left="66" w:hanging="0"/>
              <w:rPr>
                <w:sz w:val="24"/>
              </w:rPr>
            </w:pPr>
            <w:r>
              <w:rPr>
                <w:sz w:val="24"/>
              </w:rPr>
              <w:t>szkolnych dla uczniów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7"/>
              <w:ind w:left="563" w:right="558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B5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</w:tr>
      <w:tr>
        <w:trPr>
          <w:trHeight w:val="647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left="270" w:right="265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5401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3"/>
              <w:ind w:left="66" w:hanging="0"/>
              <w:rPr>
                <w:sz w:val="24"/>
              </w:rPr>
            </w:pPr>
            <w:r>
              <w:rPr>
                <w:sz w:val="24"/>
              </w:rPr>
              <w:t>Przyznawanie stypendiów</w:t>
            </w:r>
          </w:p>
          <w:p>
            <w:pPr>
              <w:pStyle w:val="TableParagraph"/>
              <w:spacing w:lineRule="exact" w:line="315"/>
              <w:ind w:left="66" w:hanging="0"/>
              <w:rPr>
                <w:sz w:val="24"/>
              </w:rPr>
            </w:pPr>
            <w:r>
              <w:rPr>
                <w:sz w:val="24"/>
              </w:rPr>
              <w:t>szkolnych dla uczniów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7"/>
              <w:ind w:left="563" w:right="558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B5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</w:tr>
      <w:tr>
        <w:trPr>
          <w:trHeight w:val="972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right="86" w:hanging="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541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3"/>
              <w:ind w:left="66" w:hanging="0"/>
              <w:rPr>
                <w:sz w:val="24"/>
              </w:rPr>
            </w:pPr>
            <w:r>
              <w:rPr>
                <w:sz w:val="24"/>
              </w:rPr>
              <w:t>Obsługa dodatków</w:t>
            </w:r>
          </w:p>
          <w:p>
            <w:pPr>
              <w:pStyle w:val="TableParagraph"/>
              <w:spacing w:lineRule="exact" w:line="322" w:before="2" w:after="0"/>
              <w:ind w:left="66" w:right="1688" w:hanging="0"/>
              <w:rPr>
                <w:sz w:val="24"/>
              </w:rPr>
            </w:pPr>
            <w:r>
              <w:rPr>
                <w:sz w:val="24"/>
              </w:rPr>
              <w:t>mieszkaniowych i energetycznych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67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left="270" w:right="265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5410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3" w:after="0"/>
              <w:ind w:left="66" w:right="1572" w:hanging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Obsługa dodatków mieszkaniowych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left="563" w:right="558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B5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</w:tr>
      <w:tr>
        <w:trPr>
          <w:trHeight w:val="767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left="270" w:right="265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5411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3" w:after="0"/>
              <w:ind w:left="66" w:right="1572" w:hanging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Obsługa dodatków energetycznych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left="563" w:right="558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B5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</w:tr>
      <w:tr>
        <w:trPr>
          <w:trHeight w:val="3338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5" w:after="0"/>
              <w:ind w:right="86" w:hanging="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542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0" w:after="0"/>
              <w:ind w:left="66" w:right="495" w:hanging="0"/>
              <w:rPr>
                <w:sz w:val="24"/>
              </w:rPr>
            </w:pPr>
            <w:r>
              <w:rPr>
                <w:sz w:val="24"/>
              </w:rPr>
              <w:t>Ustalanie uprawnień do świadczeń opieki zdrowotnej finansowanej ze środków publicznych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7"/>
              <w:ind w:left="563" w:right="557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B10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2" w:after="0"/>
              <w:ind w:left="65" w:right="152" w:hanging="0"/>
              <w:rPr>
                <w:sz w:val="18"/>
              </w:rPr>
            </w:pPr>
            <w:r>
              <w:rPr>
                <w:sz w:val="18"/>
              </w:rPr>
              <w:t>Akta spraw po zarejestrowaniu można przechowywać w teczkach założonych dla każdego wnioskodawcy</w:t>
            </w:r>
          </w:p>
          <w:p>
            <w:pPr>
              <w:pStyle w:val="TableParagraph"/>
              <w:spacing w:lineRule="auto" w:line="228" w:before="56" w:after="0"/>
              <w:ind w:left="65" w:right="391" w:firstLine="45"/>
              <w:rPr/>
            </w:pPr>
            <w:r>
              <w:rPr>
                <w:position w:val="5"/>
                <w:sz w:val="11"/>
              </w:rPr>
              <w:t>*)</w:t>
            </w:r>
            <w:r>
              <w:rPr>
                <w:sz w:val="18"/>
              </w:rPr>
              <w:t>w przypadku, gdy dokumentacja nie jest przechowywana w teczkach zbiorczych ośrodek pomocy społecznej powinien wybrać</w:t>
            </w:r>
          </w:p>
          <w:p>
            <w:pPr>
              <w:pStyle w:val="TableParagraph"/>
              <w:spacing w:lineRule="auto" w:line="228"/>
              <w:ind w:left="65" w:right="180" w:hanging="0"/>
              <w:rPr>
                <w:sz w:val="18"/>
              </w:rPr>
            </w:pPr>
            <w:r>
              <w:rPr>
                <w:sz w:val="18"/>
              </w:rPr>
              <w:t>odpowiednio kategorię B5 lub B10, w kontekście przepisu art. 104 ust. 7 ustawy z dnia 12</w:t>
            </w:r>
          </w:p>
          <w:p>
            <w:pPr>
              <w:pStyle w:val="TableParagraph"/>
              <w:spacing w:lineRule="exact" w:line="243"/>
              <w:ind w:left="65" w:hanging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marca 2004 o pomocy społecznej</w:t>
            </w:r>
          </w:p>
        </w:tc>
      </w:tr>
      <w:tr>
        <w:trPr>
          <w:trHeight w:val="4005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2" w:after="0"/>
              <w:ind w:right="86" w:hanging="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543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48" w:after="0"/>
              <w:ind w:left="66" w:right="351" w:hanging="0"/>
              <w:rPr>
                <w:sz w:val="24"/>
              </w:rPr>
            </w:pPr>
            <w:r>
              <w:rPr>
                <w:sz w:val="24"/>
              </w:rPr>
              <w:t>Realizacja świadczeń w formie funduszu kombatanckiego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4"/>
              <w:ind w:left="563" w:right="557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B10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0" w:after="0"/>
              <w:ind w:left="65" w:right="152" w:hanging="0"/>
              <w:rPr>
                <w:sz w:val="18"/>
              </w:rPr>
            </w:pPr>
            <w:r>
              <w:rPr>
                <w:sz w:val="18"/>
              </w:rPr>
              <w:t>Akta spraw po zarejestrowaniu można przechowywać w teczkach założonych dla każdego wnioskodawcy</w:t>
            </w:r>
          </w:p>
          <w:p>
            <w:pPr>
              <w:pStyle w:val="TableParagraph"/>
              <w:spacing w:lineRule="auto" w:line="228" w:before="57" w:after="0"/>
              <w:ind w:left="65" w:right="391" w:hanging="0"/>
              <w:rPr/>
            </w:pPr>
            <w:r>
              <w:rPr>
                <w:position w:val="5"/>
                <w:sz w:val="11"/>
              </w:rPr>
              <w:t xml:space="preserve">*) </w:t>
            </w:r>
            <w:r>
              <w:rPr>
                <w:sz w:val="18"/>
              </w:rPr>
              <w:t>w przypadku, gdy dokumentacja nie jest przechowywana w teczkach zbiorczych ośrodek pomocy społecznej powinien wybrać</w:t>
            </w:r>
          </w:p>
          <w:p>
            <w:pPr>
              <w:pStyle w:val="TableParagraph"/>
              <w:spacing w:lineRule="auto" w:line="228"/>
              <w:ind w:left="65" w:right="180" w:hanging="0"/>
              <w:rPr>
                <w:sz w:val="18"/>
              </w:rPr>
            </w:pPr>
            <w:r>
              <w:rPr>
                <w:sz w:val="18"/>
              </w:rPr>
              <w:t>odpowiednio kategorię B5 lub B10, w kontekście przepisu art. 104 ust. 7 ustawy z dnia 12 marca 2004 o pomocy</w:t>
            </w:r>
          </w:p>
          <w:p>
            <w:pPr>
              <w:pStyle w:val="TableParagraph"/>
              <w:spacing w:lineRule="exact" w:line="238"/>
              <w:ind w:left="65" w:hanging="0"/>
              <w:rPr>
                <w:sz w:val="18"/>
              </w:rPr>
            </w:pPr>
            <w:r>
              <w:rPr>
                <w:sz w:val="18"/>
              </w:rPr>
              <w:t>społecznej. Jeżeli wytwarzana</w:t>
            </w:r>
          </w:p>
          <w:p>
            <w:pPr>
              <w:pStyle w:val="TableParagraph"/>
              <w:spacing w:lineRule="exact" w:line="242"/>
              <w:ind w:left="65" w:right="208" w:hanging="0"/>
              <w:rPr>
                <w:sz w:val="18"/>
              </w:rPr>
            </w:pPr>
            <w:r>
              <w:rPr>
                <w:sz w:val="18"/>
              </w:rPr>
              <w:t>dokumentacja poświadcza okresy zatrudnienia zalicza się</w:t>
            </w:r>
          </w:p>
        </w:tc>
      </w:tr>
      <w:tr>
        <w:trPr>
          <w:trHeight w:val="4005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2" w:after="0"/>
              <w:ind w:right="86" w:hanging="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48" w:after="0"/>
              <w:ind w:left="66" w:right="351" w:hanging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Obsługa dodatków osłonowych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4"/>
              <w:ind w:left="563" w:right="557" w:hanging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B5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0" w:after="0"/>
              <w:ind w:left="65" w:right="152" w:hanging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</w:p>
        </w:tc>
      </w:tr>
      <w:tr>
        <w:trPr>
          <w:trHeight w:val="1875" w:hRule="atLeast"/>
        </w:trPr>
        <w:tc>
          <w:tcPr>
            <w:tcW w:w="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before="42" w:after="0"/>
              <w:ind w:right="86" w:hanging="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545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48" w:after="0"/>
              <w:ind w:left="66" w:right="351" w:hanging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Obsługa dodatków węglowych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14"/>
              <w:ind w:left="563" w:right="557" w:hanging="0"/>
              <w:jc w:val="center"/>
              <w:rPr/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TableParagraph"/>
              <w:spacing w:lineRule="auto" w:line="228" w:before="50" w:after="0"/>
              <w:ind w:left="65" w:right="152" w:hanging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</w:p>
        </w:tc>
      </w:tr>
    </w:tbl>
    <w:p>
      <w:pPr>
        <w:pStyle w:val="Standard"/>
        <w:jc w:val="center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Standard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§ 2</w:t>
      </w:r>
    </w:p>
    <w:p>
      <w:pPr>
        <w:pStyle w:val="Standard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Standard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Dokumentacja wytworzona i zgromadzona przed dniem wejścia w życie zarządzenia podlega ponownej kwalifikacji do kategorii archiwalnych określonych w jednolitym  rzeczowym wykazie akt w brzmieniu nadanym niniejszym zarządzeniem.</w:t>
      </w:r>
    </w:p>
    <w:p>
      <w:pPr>
        <w:pStyle w:val="Standard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Standard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§ 3</w:t>
      </w:r>
    </w:p>
    <w:p>
      <w:pPr>
        <w:pStyle w:val="Standard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Standard"/>
        <w:jc w:val="both"/>
        <w:rPr/>
      </w:pPr>
      <w:r>
        <w:rPr>
          <w:rFonts w:cs="Garamond" w:ascii="Garamond" w:hAnsi="Garamond"/>
        </w:rPr>
        <w:t>Zarządzenie wchodzi w życie z dniem 29.07</w:t>
      </w:r>
      <w:bookmarkStart w:id="0" w:name="_GoBack"/>
      <w:bookmarkEnd w:id="0"/>
      <w:r>
        <w:rPr>
          <w:rFonts w:cs="Garamond" w:ascii="Garamond" w:hAnsi="Garamond"/>
        </w:rPr>
        <w:t>.2022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eXGyrePagella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sz w:val="24"/>
      <w:szCs w:val="24"/>
      <w:lang w:val="pl-PL" w:eastAsia="zh-CN" w:bidi="hi-IN"/>
    </w:rPr>
  </w:style>
  <w:style w:type="paragraph" w:styleId="Nagwek1">
    <w:name w:val="Nagłówek 1"/>
    <w:basedOn w:val="Nagwek"/>
    <w:pPr>
      <w:outlineLvl w:val="0"/>
    </w:pPr>
    <w:rPr>
      <w:b/>
      <w:bCs/>
    </w:rPr>
  </w:style>
  <w:style w:type="paragraph" w:styleId="Nagwek2">
    <w:name w:val="Nagłówek 2"/>
    <w:basedOn w:val="Nagwek"/>
    <w:pPr>
      <w:spacing w:before="200" w:after="120"/>
      <w:outlineLvl w:val="1"/>
    </w:pPr>
    <w:rPr>
      <w:b/>
      <w:bCs/>
    </w:rPr>
  </w:style>
  <w:style w:type="paragraph" w:styleId="Nagwek3">
    <w:name w:val="Nagłówek 3"/>
    <w:basedOn w:val="Nagwek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paragraph" w:styleId="Nagwek" w:customStyle="1">
    <w:name w:val="Nagłówek"/>
    <w:basedOn w:val="Standard"/>
    <w:next w:val="Tretekstu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extbody"/>
    <w:pPr/>
    <w:rPr/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ytaty" w:customStyle="1">
    <w:name w:val="Cytaty"/>
    <w:basedOn w:val="Standard"/>
    <w:qFormat/>
    <w:pPr>
      <w:spacing w:before="0" w:after="283"/>
      <w:ind w:left="567" w:right="567" w:hanging="0"/>
    </w:pPr>
    <w:rPr/>
  </w:style>
  <w:style w:type="paragraph" w:styleId="Tytu">
    <w:name w:val="Tytuł"/>
    <w:basedOn w:val="Nagwek"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pPr>
      <w:spacing w:before="60" w:after="120"/>
      <w:jc w:val="center"/>
    </w:pPr>
    <w:rPr>
      <w:sz w:val="36"/>
      <w:szCs w:val="36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Gwka">
    <w:name w:val="Główka"/>
    <w:basedOn w:val="Standard"/>
    <w:pPr>
      <w:widowControl/>
      <w:suppressLineNumbers/>
      <w:tabs>
        <w:tab w:val="center" w:pos="4536" w:leader="none"/>
        <w:tab w:val="right" w:pos="9072" w:leader="none"/>
      </w:tabs>
    </w:pPr>
    <w:rPr>
      <w:rFonts w:eastAsia="Times New Roman" w:cs="Times New Roman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ramki" w:customStyle="1">
    <w:name w:val="Zawartość ramki"/>
    <w:basedOn w:val="Standard"/>
    <w:qFormat/>
    <w:pPr/>
    <w:rPr/>
  </w:style>
  <w:style w:type="paragraph" w:styleId="TableParagraph" w:customStyle="1">
    <w:name w:val="Table Paragraph"/>
    <w:basedOn w:val="Normal"/>
    <w:qFormat/>
    <w:pPr>
      <w:suppressAutoHyphens w:val="false"/>
      <w:textAlignment w:val="auto"/>
    </w:pPr>
    <w:rPr>
      <w:rFonts w:ascii="TeXGyrePagella" w:hAnsi="TeXGyrePagella" w:eastAsia="TeXGyrePagella" w:cs="TeXGyrePagella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LibreOffice/4.4.5.2$Windows_x86 LibreOffice_project/a22f674fd25a3b6f45bdebf25400ed2adff0ff99</Application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2011-12-31T23:33:00Z</dcterms:created>
  <dc:creator>Basia</dc:creator>
  <dc:language>pl-PL</dc:language>
  <cp:lastPrinted>2022-08-29T10:21:16Z</cp:lastPrinted>
  <dcterms:modified xsi:type="dcterms:W3CDTF">2022-08-29T10:21:36Z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